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D8BC" w14:textId="77777777" w:rsidR="00BC04CA" w:rsidRDefault="00BC04CA" w:rsidP="00BC04CA">
      <w:pPr>
        <w:spacing w:after="0" w:line="450" w:lineRule="exact"/>
        <w:ind w:right="-20"/>
        <w:jc w:val="center"/>
        <w:rPr>
          <w:rFonts w:ascii="Segoe UI" w:eastAsia="Times New Roman" w:hAnsi="Segoe UI" w:cs="Segoe UI"/>
          <w:spacing w:val="13"/>
          <w:w w:val="113"/>
          <w:position w:val="-2"/>
          <w:sz w:val="32"/>
          <w:szCs w:val="32"/>
        </w:rPr>
      </w:pPr>
      <w:r w:rsidRPr="00AB79D8">
        <w:rPr>
          <w:rFonts w:ascii="Segoe UI" w:hAnsi="Segoe UI" w:cs="Segoe UI"/>
          <w:noProof/>
          <w:sz w:val="32"/>
          <w:szCs w:val="32"/>
        </w:rPr>
        <w:drawing>
          <wp:anchor distT="0" distB="0" distL="114300" distR="114300" simplePos="0" relativeHeight="251659264" behindDoc="1" locked="0" layoutInCell="1" allowOverlap="1" wp14:anchorId="5479ABCC" wp14:editId="0B4F7362">
            <wp:simplePos x="0" y="0"/>
            <wp:positionH relativeFrom="page">
              <wp:posOffset>657225</wp:posOffset>
            </wp:positionH>
            <wp:positionV relativeFrom="paragraph">
              <wp:posOffset>-361950</wp:posOffset>
            </wp:positionV>
            <wp:extent cx="705971" cy="857250"/>
            <wp:effectExtent l="0" t="0" r="0" b="0"/>
            <wp:wrapNone/>
            <wp:docPr id="2" name="Picture 2" descr="A green bird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bird on a branch&#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6713" cy="858150"/>
                    </a:xfrm>
                    <a:prstGeom prst="rect">
                      <a:avLst/>
                    </a:prstGeom>
                    <a:noFill/>
                  </pic:spPr>
                </pic:pic>
              </a:graphicData>
            </a:graphic>
          </wp:anchor>
        </w:drawing>
      </w:r>
      <w:r w:rsidRPr="00AB79D8">
        <w:rPr>
          <w:rFonts w:ascii="Segoe UI" w:eastAsia="Times New Roman" w:hAnsi="Segoe UI" w:cs="Segoe UI"/>
          <w:spacing w:val="13"/>
          <w:w w:val="107"/>
          <w:position w:val="-2"/>
          <w:sz w:val="32"/>
          <w:szCs w:val="32"/>
        </w:rPr>
        <w:t>P</w:t>
      </w:r>
      <w:r w:rsidRPr="00AB79D8">
        <w:rPr>
          <w:rFonts w:ascii="Segoe UI" w:eastAsia="Times New Roman" w:hAnsi="Segoe UI" w:cs="Segoe UI"/>
          <w:spacing w:val="11"/>
          <w:w w:val="107"/>
          <w:position w:val="-2"/>
          <w:sz w:val="32"/>
          <w:szCs w:val="32"/>
        </w:rPr>
        <w:t>u</w:t>
      </w:r>
      <w:r w:rsidRPr="00AB79D8">
        <w:rPr>
          <w:rFonts w:ascii="Segoe UI" w:eastAsia="Times New Roman" w:hAnsi="Segoe UI" w:cs="Segoe UI"/>
          <w:spacing w:val="13"/>
          <w:w w:val="113"/>
          <w:position w:val="-2"/>
          <w:sz w:val="32"/>
          <w:szCs w:val="32"/>
        </w:rPr>
        <w:t>ttenham Parish Council</w:t>
      </w:r>
    </w:p>
    <w:p w14:paraId="7F05C9DF" w14:textId="77777777" w:rsidR="00BC04CA" w:rsidRPr="007817E3" w:rsidRDefault="00BC04CA" w:rsidP="00FF029C">
      <w:pPr>
        <w:spacing w:after="0" w:line="360" w:lineRule="auto"/>
        <w:ind w:right="-23"/>
        <w:rPr>
          <w:rFonts w:ascii="Segoe UI" w:eastAsia="Times New Roman" w:hAnsi="Segoe UI" w:cs="Segoe UI"/>
          <w:spacing w:val="13"/>
          <w:w w:val="113"/>
          <w:position w:val="-2"/>
          <w:sz w:val="20"/>
          <w:szCs w:val="20"/>
        </w:rPr>
      </w:pPr>
    </w:p>
    <w:p w14:paraId="5370E602" w14:textId="0CC6EF5A" w:rsidR="00BC04CA" w:rsidRDefault="00BC04CA" w:rsidP="00BC04CA">
      <w:pPr>
        <w:spacing w:after="0" w:line="450" w:lineRule="exact"/>
        <w:ind w:right="-20"/>
        <w:jc w:val="center"/>
        <w:rPr>
          <w:rFonts w:ascii="Segoe UI" w:eastAsia="Times New Roman" w:hAnsi="Segoe UI" w:cs="Segoe UI"/>
          <w:spacing w:val="13"/>
          <w:w w:val="113"/>
          <w:position w:val="-2"/>
          <w:sz w:val="28"/>
          <w:szCs w:val="28"/>
        </w:rPr>
      </w:pPr>
      <w:r w:rsidRPr="00BC04CA">
        <w:rPr>
          <w:rFonts w:ascii="Segoe UI" w:eastAsia="Times New Roman" w:hAnsi="Segoe UI" w:cs="Segoe UI"/>
          <w:spacing w:val="13"/>
          <w:w w:val="113"/>
          <w:position w:val="-2"/>
          <w:sz w:val="28"/>
          <w:szCs w:val="28"/>
        </w:rPr>
        <w:t>CEMETERY TABLE OF FEES</w:t>
      </w:r>
    </w:p>
    <w:p w14:paraId="7FED7229" w14:textId="60612EDB" w:rsidR="00BC04CA" w:rsidRDefault="00BC04CA" w:rsidP="00BC04CA">
      <w:pPr>
        <w:spacing w:after="0" w:line="450" w:lineRule="exact"/>
        <w:ind w:right="-20"/>
        <w:jc w:val="center"/>
        <w:rPr>
          <w:rFonts w:ascii="Segoe UI" w:eastAsia="Times New Roman" w:hAnsi="Segoe UI" w:cs="Segoe UI"/>
          <w:spacing w:val="13"/>
          <w:w w:val="113"/>
          <w:position w:val="-2"/>
        </w:rPr>
      </w:pPr>
      <w:r>
        <w:rPr>
          <w:rFonts w:ascii="Segoe UI" w:eastAsia="Times New Roman" w:hAnsi="Segoe UI" w:cs="Segoe UI"/>
          <w:spacing w:val="13"/>
          <w:w w:val="113"/>
          <w:position w:val="-2"/>
        </w:rPr>
        <w:t xml:space="preserve">Effective </w:t>
      </w:r>
      <w:r w:rsidR="00A741BC">
        <w:rPr>
          <w:rFonts w:ascii="Segoe UI" w:eastAsia="Times New Roman" w:hAnsi="Segoe UI" w:cs="Segoe UI"/>
          <w:spacing w:val="13"/>
          <w:w w:val="113"/>
          <w:position w:val="-2"/>
        </w:rPr>
        <w:t>15 September 2025</w:t>
      </w:r>
    </w:p>
    <w:p w14:paraId="2C896705" w14:textId="77777777" w:rsidR="00BC04CA" w:rsidRPr="00BC04CA" w:rsidRDefault="00BC04CA" w:rsidP="00BC04CA">
      <w:pPr>
        <w:spacing w:after="0" w:line="450" w:lineRule="exact"/>
        <w:ind w:right="-20"/>
        <w:jc w:val="center"/>
        <w:rPr>
          <w:rFonts w:ascii="Segoe UI" w:eastAsia="Times New Roman" w:hAnsi="Segoe UI" w:cs="Segoe UI"/>
        </w:rPr>
      </w:pPr>
    </w:p>
    <w:p w14:paraId="333D5F31" w14:textId="6700F399" w:rsidR="00BC04CA" w:rsidRPr="00AB79D8" w:rsidRDefault="00BC04CA" w:rsidP="00BC04CA">
      <w:pPr>
        <w:spacing w:line="240" w:lineRule="auto"/>
        <w:rPr>
          <w:b/>
          <w:sz w:val="24"/>
          <w:szCs w:val="24"/>
        </w:rPr>
      </w:pPr>
      <w:r>
        <w:rPr>
          <w:b/>
          <w:sz w:val="24"/>
          <w:szCs w:val="24"/>
        </w:rPr>
        <w:t>BURIALS</w:t>
      </w:r>
    </w:p>
    <w:tbl>
      <w:tblPr>
        <w:tblStyle w:val="TableGrid"/>
        <w:tblW w:w="0" w:type="auto"/>
        <w:tblLook w:val="04A0" w:firstRow="1" w:lastRow="0" w:firstColumn="1" w:lastColumn="0" w:noHBand="0" w:noVBand="1"/>
      </w:tblPr>
      <w:tblGrid>
        <w:gridCol w:w="7278"/>
        <w:gridCol w:w="1738"/>
      </w:tblGrid>
      <w:tr w:rsidR="00BC04CA" w:rsidRPr="00743369" w14:paraId="52150598" w14:textId="77777777" w:rsidTr="007817E3">
        <w:tc>
          <w:tcPr>
            <w:tcW w:w="7278" w:type="dxa"/>
          </w:tcPr>
          <w:p w14:paraId="56561A36" w14:textId="356811BF" w:rsidR="00BC04CA" w:rsidRPr="00743369" w:rsidRDefault="00BC04CA" w:rsidP="007B44DE">
            <w:pPr>
              <w:tabs>
                <w:tab w:val="left" w:pos="7655"/>
                <w:tab w:val="decimal" w:pos="8505"/>
              </w:tabs>
              <w:rPr>
                <w:rFonts w:cstheme="minorHAnsi"/>
                <w:sz w:val="24"/>
                <w:szCs w:val="24"/>
              </w:rPr>
            </w:pPr>
            <w:r w:rsidRPr="00743369">
              <w:rPr>
                <w:rFonts w:cstheme="minorHAnsi"/>
                <w:sz w:val="24"/>
                <w:szCs w:val="24"/>
              </w:rPr>
              <w:t>Body</w:t>
            </w:r>
            <w:r w:rsidR="007817E3">
              <w:rPr>
                <w:rFonts w:cstheme="minorHAnsi"/>
                <w:sz w:val="24"/>
                <w:szCs w:val="24"/>
              </w:rPr>
              <w:t xml:space="preserve"> </w:t>
            </w:r>
            <w:r w:rsidRPr="00743369">
              <w:rPr>
                <w:rFonts w:cstheme="minorHAnsi"/>
                <w:sz w:val="24"/>
                <w:szCs w:val="24"/>
              </w:rPr>
              <w:t xml:space="preserve">of a child whose age at the time of death does not exceed </w:t>
            </w:r>
            <w:r w:rsidR="007817E3">
              <w:rPr>
                <w:rFonts w:cstheme="minorHAnsi"/>
                <w:sz w:val="24"/>
                <w:szCs w:val="24"/>
              </w:rPr>
              <w:t>12</w:t>
            </w:r>
            <w:r w:rsidRPr="00743369">
              <w:rPr>
                <w:rFonts w:cstheme="minorHAnsi"/>
                <w:sz w:val="24"/>
                <w:szCs w:val="24"/>
              </w:rPr>
              <w:t xml:space="preserve"> years</w:t>
            </w:r>
          </w:p>
        </w:tc>
        <w:tc>
          <w:tcPr>
            <w:tcW w:w="1738" w:type="dxa"/>
          </w:tcPr>
          <w:p w14:paraId="40387CB5" w14:textId="747DA972" w:rsidR="00BC04CA" w:rsidRPr="00743369" w:rsidRDefault="00BC04CA" w:rsidP="007B44DE">
            <w:pPr>
              <w:tabs>
                <w:tab w:val="left" w:pos="7655"/>
                <w:tab w:val="decimal" w:pos="8505"/>
              </w:tabs>
              <w:rPr>
                <w:rFonts w:cstheme="minorHAnsi"/>
                <w:sz w:val="24"/>
                <w:szCs w:val="24"/>
              </w:rPr>
            </w:pPr>
            <w:r>
              <w:rPr>
                <w:rFonts w:cstheme="minorHAnsi"/>
                <w:sz w:val="24"/>
                <w:szCs w:val="24"/>
              </w:rPr>
              <w:t>No charge</w:t>
            </w:r>
          </w:p>
        </w:tc>
      </w:tr>
      <w:tr w:rsidR="00BC04CA" w:rsidRPr="00743369" w14:paraId="4C641417" w14:textId="77777777" w:rsidTr="007817E3">
        <w:tc>
          <w:tcPr>
            <w:tcW w:w="7278" w:type="dxa"/>
          </w:tcPr>
          <w:p w14:paraId="57BE07CA" w14:textId="6A6681EB" w:rsidR="00BC04CA" w:rsidRPr="00743369" w:rsidRDefault="00BC04CA" w:rsidP="007B44DE">
            <w:pPr>
              <w:tabs>
                <w:tab w:val="left" w:pos="7655"/>
                <w:tab w:val="decimal" w:pos="8505"/>
              </w:tabs>
              <w:rPr>
                <w:rFonts w:cstheme="minorHAnsi"/>
                <w:sz w:val="24"/>
                <w:szCs w:val="24"/>
              </w:rPr>
            </w:pPr>
            <w:r w:rsidRPr="00743369">
              <w:rPr>
                <w:rFonts w:cstheme="minorHAnsi"/>
                <w:sz w:val="24"/>
                <w:szCs w:val="24"/>
              </w:rPr>
              <w:t>Body of a person whose age at the time of death exceed</w:t>
            </w:r>
            <w:r w:rsidR="007817E3">
              <w:rPr>
                <w:rFonts w:cstheme="minorHAnsi"/>
                <w:sz w:val="24"/>
                <w:szCs w:val="24"/>
              </w:rPr>
              <w:t>ed</w:t>
            </w:r>
            <w:r w:rsidRPr="00743369">
              <w:rPr>
                <w:rFonts w:cstheme="minorHAnsi"/>
                <w:sz w:val="24"/>
                <w:szCs w:val="24"/>
              </w:rPr>
              <w:t xml:space="preserve"> </w:t>
            </w:r>
            <w:r w:rsidR="007817E3">
              <w:rPr>
                <w:rFonts w:cstheme="minorHAnsi"/>
                <w:sz w:val="24"/>
                <w:szCs w:val="24"/>
              </w:rPr>
              <w:t>12</w:t>
            </w:r>
            <w:r w:rsidRPr="00743369">
              <w:rPr>
                <w:rFonts w:cstheme="minorHAnsi"/>
                <w:sz w:val="24"/>
                <w:szCs w:val="24"/>
              </w:rPr>
              <w:t xml:space="preserve"> years</w:t>
            </w:r>
          </w:p>
        </w:tc>
        <w:tc>
          <w:tcPr>
            <w:tcW w:w="1738" w:type="dxa"/>
          </w:tcPr>
          <w:p w14:paraId="303DC2BA" w14:textId="22252FA9" w:rsidR="00BC04CA" w:rsidRPr="00743369" w:rsidRDefault="00BC04CA" w:rsidP="007B44DE">
            <w:pPr>
              <w:tabs>
                <w:tab w:val="left" w:pos="7655"/>
                <w:tab w:val="decimal" w:pos="8505"/>
              </w:tabs>
              <w:rPr>
                <w:rFonts w:cstheme="minorHAnsi"/>
                <w:sz w:val="24"/>
                <w:szCs w:val="24"/>
              </w:rPr>
            </w:pPr>
            <w:r>
              <w:rPr>
                <w:rFonts w:cstheme="minorHAnsi"/>
                <w:sz w:val="24"/>
                <w:szCs w:val="24"/>
              </w:rPr>
              <w:t>£</w:t>
            </w:r>
            <w:r w:rsidR="00BA73DA">
              <w:rPr>
                <w:rFonts w:cstheme="minorHAnsi"/>
                <w:sz w:val="24"/>
                <w:szCs w:val="24"/>
              </w:rPr>
              <w:t>630</w:t>
            </w:r>
          </w:p>
        </w:tc>
      </w:tr>
      <w:tr w:rsidR="00BC04CA" w:rsidRPr="00743369" w14:paraId="053C4FE6" w14:textId="77777777" w:rsidTr="007817E3">
        <w:tc>
          <w:tcPr>
            <w:tcW w:w="7278" w:type="dxa"/>
          </w:tcPr>
          <w:p w14:paraId="36638AE0" w14:textId="77777777" w:rsidR="00BC04CA" w:rsidRPr="00743369" w:rsidRDefault="00BC04CA" w:rsidP="007B44DE">
            <w:pPr>
              <w:tabs>
                <w:tab w:val="left" w:pos="7655"/>
                <w:tab w:val="decimal" w:pos="8505"/>
              </w:tabs>
              <w:rPr>
                <w:rFonts w:cstheme="minorHAnsi"/>
                <w:sz w:val="24"/>
                <w:szCs w:val="24"/>
              </w:rPr>
            </w:pPr>
            <w:r w:rsidRPr="00743369">
              <w:rPr>
                <w:rFonts w:cstheme="minorHAnsi"/>
                <w:sz w:val="24"/>
                <w:szCs w:val="24"/>
              </w:rPr>
              <w:t>Ashes contained in an urn or casket</w:t>
            </w:r>
          </w:p>
        </w:tc>
        <w:tc>
          <w:tcPr>
            <w:tcW w:w="1738" w:type="dxa"/>
          </w:tcPr>
          <w:p w14:paraId="23D38905" w14:textId="777CDD17" w:rsidR="00BC04CA" w:rsidRPr="00743369" w:rsidRDefault="00BC04CA" w:rsidP="007B44DE">
            <w:pPr>
              <w:tabs>
                <w:tab w:val="left" w:pos="7655"/>
                <w:tab w:val="decimal" w:pos="8505"/>
              </w:tabs>
              <w:rPr>
                <w:rFonts w:cstheme="minorHAnsi"/>
                <w:sz w:val="24"/>
                <w:szCs w:val="24"/>
              </w:rPr>
            </w:pPr>
            <w:r>
              <w:rPr>
                <w:rFonts w:cstheme="minorHAnsi"/>
                <w:sz w:val="24"/>
                <w:szCs w:val="24"/>
              </w:rPr>
              <w:t>£</w:t>
            </w:r>
            <w:r w:rsidR="00BC05AD">
              <w:rPr>
                <w:rFonts w:cstheme="minorHAnsi"/>
                <w:sz w:val="24"/>
                <w:szCs w:val="24"/>
              </w:rPr>
              <w:t>315</w:t>
            </w:r>
          </w:p>
        </w:tc>
      </w:tr>
    </w:tbl>
    <w:p w14:paraId="649A083B" w14:textId="77777777" w:rsidR="00FF029C" w:rsidRDefault="00FF029C"/>
    <w:p w14:paraId="2E7D13E8" w14:textId="75D210E7" w:rsidR="00BC04CA" w:rsidRPr="00BC04CA" w:rsidRDefault="00BC04CA" w:rsidP="00BC04CA">
      <w:pPr>
        <w:spacing w:line="240" w:lineRule="auto"/>
        <w:rPr>
          <w:b/>
          <w:sz w:val="24"/>
          <w:szCs w:val="24"/>
        </w:rPr>
      </w:pPr>
      <w:r>
        <w:rPr>
          <w:b/>
          <w:sz w:val="24"/>
          <w:szCs w:val="24"/>
        </w:rPr>
        <w:t>PURCHASE OF GRAVE SPACES</w:t>
      </w:r>
    </w:p>
    <w:tbl>
      <w:tblPr>
        <w:tblStyle w:val="TableGrid"/>
        <w:tblW w:w="0" w:type="auto"/>
        <w:tblLook w:val="04A0" w:firstRow="1" w:lastRow="0" w:firstColumn="1" w:lastColumn="0" w:noHBand="0" w:noVBand="1"/>
      </w:tblPr>
      <w:tblGrid>
        <w:gridCol w:w="7281"/>
        <w:gridCol w:w="1735"/>
      </w:tblGrid>
      <w:tr w:rsidR="00BC04CA" w:rsidRPr="0093383E" w14:paraId="0A3A81A3" w14:textId="77777777" w:rsidTr="007B44DE">
        <w:tc>
          <w:tcPr>
            <w:tcW w:w="7479" w:type="dxa"/>
          </w:tcPr>
          <w:p w14:paraId="470780DA" w14:textId="35849FEC"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For the exclusive right of BURIAL for a period of 100 years in a grave 2130 x 920 mm (7`x 3`)</w:t>
            </w:r>
          </w:p>
        </w:tc>
        <w:tc>
          <w:tcPr>
            <w:tcW w:w="1763" w:type="dxa"/>
          </w:tcPr>
          <w:p w14:paraId="05E701BE" w14:textId="727245F4" w:rsidR="00BC04CA" w:rsidRPr="0093383E" w:rsidRDefault="00BC04CA" w:rsidP="007B44DE">
            <w:pPr>
              <w:tabs>
                <w:tab w:val="left" w:pos="7655"/>
                <w:tab w:val="decimal" w:pos="8505"/>
              </w:tabs>
              <w:rPr>
                <w:rFonts w:cstheme="minorHAnsi"/>
                <w:sz w:val="24"/>
                <w:szCs w:val="24"/>
              </w:rPr>
            </w:pPr>
            <w:r>
              <w:rPr>
                <w:rFonts w:cstheme="minorHAnsi"/>
                <w:sz w:val="24"/>
                <w:szCs w:val="24"/>
              </w:rPr>
              <w:t>£</w:t>
            </w:r>
            <w:r w:rsidR="00BC05AD">
              <w:rPr>
                <w:rFonts w:cstheme="minorHAnsi"/>
                <w:sz w:val="24"/>
                <w:szCs w:val="24"/>
              </w:rPr>
              <w:t>815</w:t>
            </w:r>
          </w:p>
        </w:tc>
      </w:tr>
      <w:tr w:rsidR="00BC04CA" w:rsidRPr="0093383E" w14:paraId="3EF105D0" w14:textId="77777777" w:rsidTr="007B44DE">
        <w:tc>
          <w:tcPr>
            <w:tcW w:w="7479" w:type="dxa"/>
          </w:tcPr>
          <w:p w14:paraId="018BF2C1" w14:textId="29BBF4AB"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For the exclusive right of BURIAL OF ASHES for a period of 100 years in a grave 610 x 610 mm (2` x 2`)</w:t>
            </w:r>
          </w:p>
        </w:tc>
        <w:tc>
          <w:tcPr>
            <w:tcW w:w="1763" w:type="dxa"/>
          </w:tcPr>
          <w:p w14:paraId="70EC93DA" w14:textId="540FE5F7" w:rsidR="00BC04CA" w:rsidRPr="0093383E" w:rsidRDefault="00BC04CA" w:rsidP="007B44DE">
            <w:pPr>
              <w:tabs>
                <w:tab w:val="left" w:pos="7655"/>
                <w:tab w:val="decimal" w:pos="8505"/>
              </w:tabs>
              <w:rPr>
                <w:rFonts w:cstheme="minorHAnsi"/>
                <w:sz w:val="24"/>
                <w:szCs w:val="24"/>
              </w:rPr>
            </w:pPr>
            <w:r>
              <w:rPr>
                <w:rFonts w:cstheme="minorHAnsi"/>
                <w:sz w:val="24"/>
                <w:szCs w:val="24"/>
              </w:rPr>
              <w:t>£</w:t>
            </w:r>
            <w:r w:rsidR="007817E3">
              <w:rPr>
                <w:rFonts w:cstheme="minorHAnsi"/>
                <w:sz w:val="24"/>
                <w:szCs w:val="24"/>
              </w:rPr>
              <w:t>3</w:t>
            </w:r>
            <w:r w:rsidR="00BC05AD">
              <w:rPr>
                <w:rFonts w:cstheme="minorHAnsi"/>
                <w:sz w:val="24"/>
                <w:szCs w:val="24"/>
              </w:rPr>
              <w:t>75</w:t>
            </w:r>
          </w:p>
        </w:tc>
      </w:tr>
      <w:tr w:rsidR="00BC04CA" w:rsidRPr="0093383E" w14:paraId="73E1C294" w14:textId="77777777" w:rsidTr="007B44DE">
        <w:tc>
          <w:tcPr>
            <w:tcW w:w="7479" w:type="dxa"/>
          </w:tcPr>
          <w:p w14:paraId="3F78C611" w14:textId="61E5A803"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For the exclusive right of burial of children up to the age of 12 years</w:t>
            </w:r>
            <w:r>
              <w:rPr>
                <w:rFonts w:cstheme="minorHAnsi"/>
                <w:sz w:val="24"/>
                <w:szCs w:val="24"/>
              </w:rPr>
              <w:t xml:space="preserve"> f</w:t>
            </w:r>
            <w:r w:rsidRPr="0093383E">
              <w:rPr>
                <w:rFonts w:cstheme="minorHAnsi"/>
                <w:sz w:val="24"/>
                <w:szCs w:val="24"/>
              </w:rPr>
              <w:t>or a period of 100 years.</w:t>
            </w:r>
          </w:p>
        </w:tc>
        <w:tc>
          <w:tcPr>
            <w:tcW w:w="1763" w:type="dxa"/>
          </w:tcPr>
          <w:p w14:paraId="17535B49" w14:textId="130392B6" w:rsidR="00BC04CA" w:rsidRPr="0093383E" w:rsidRDefault="007817E3" w:rsidP="007B44DE">
            <w:pPr>
              <w:tabs>
                <w:tab w:val="left" w:pos="7655"/>
                <w:tab w:val="decimal" w:pos="8505"/>
              </w:tabs>
              <w:rPr>
                <w:rFonts w:cstheme="minorHAnsi"/>
                <w:sz w:val="24"/>
                <w:szCs w:val="24"/>
              </w:rPr>
            </w:pPr>
            <w:r>
              <w:rPr>
                <w:rFonts w:cstheme="minorHAnsi"/>
                <w:sz w:val="24"/>
                <w:szCs w:val="24"/>
              </w:rPr>
              <w:t>No charge</w:t>
            </w:r>
          </w:p>
        </w:tc>
      </w:tr>
    </w:tbl>
    <w:p w14:paraId="2958998D" w14:textId="77777777" w:rsidR="00BC04CA" w:rsidRDefault="00BC04CA"/>
    <w:p w14:paraId="455FF8DD" w14:textId="06782D7A" w:rsidR="00BC04CA" w:rsidRDefault="00BC04CA">
      <w:pPr>
        <w:rPr>
          <w:b/>
          <w:bCs/>
          <w:sz w:val="24"/>
          <w:szCs w:val="24"/>
        </w:rPr>
      </w:pPr>
      <w:r w:rsidRPr="00BC04CA">
        <w:rPr>
          <w:b/>
          <w:bCs/>
          <w:sz w:val="24"/>
          <w:szCs w:val="24"/>
        </w:rPr>
        <w:t>MONUMENTS AND INSCRIPTIONS</w:t>
      </w:r>
    </w:p>
    <w:tbl>
      <w:tblPr>
        <w:tblStyle w:val="TableGrid"/>
        <w:tblW w:w="0" w:type="auto"/>
        <w:tblLook w:val="04A0" w:firstRow="1" w:lastRow="0" w:firstColumn="1" w:lastColumn="0" w:noHBand="0" w:noVBand="1"/>
      </w:tblPr>
      <w:tblGrid>
        <w:gridCol w:w="7225"/>
        <w:gridCol w:w="1791"/>
      </w:tblGrid>
      <w:tr w:rsidR="00BC04CA" w:rsidRPr="0093383E" w14:paraId="45118C8F" w14:textId="77777777" w:rsidTr="00BC04CA">
        <w:tc>
          <w:tcPr>
            <w:tcW w:w="7225" w:type="dxa"/>
          </w:tcPr>
          <w:p w14:paraId="736D6412" w14:textId="71CE5649"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For an Ashes grave, a flat stone no bigger than 300 x 460 mm level with the ground, with a vase. Design to be approved by the Council in advance.</w:t>
            </w:r>
          </w:p>
        </w:tc>
        <w:tc>
          <w:tcPr>
            <w:tcW w:w="1791" w:type="dxa"/>
          </w:tcPr>
          <w:p w14:paraId="46A50DDC" w14:textId="12726B05" w:rsidR="00BC04CA" w:rsidRPr="0093383E" w:rsidRDefault="00BC04CA" w:rsidP="007B44DE">
            <w:pPr>
              <w:tabs>
                <w:tab w:val="left" w:pos="7655"/>
                <w:tab w:val="decimal" w:pos="8505"/>
              </w:tabs>
              <w:rPr>
                <w:rFonts w:cstheme="minorHAnsi"/>
                <w:sz w:val="24"/>
                <w:szCs w:val="24"/>
              </w:rPr>
            </w:pPr>
            <w:r>
              <w:rPr>
                <w:rFonts w:cstheme="minorHAnsi"/>
                <w:sz w:val="24"/>
                <w:szCs w:val="24"/>
              </w:rPr>
              <w:t>£</w:t>
            </w:r>
            <w:r w:rsidR="00FF029C">
              <w:rPr>
                <w:rFonts w:cstheme="minorHAnsi"/>
                <w:sz w:val="24"/>
                <w:szCs w:val="24"/>
              </w:rPr>
              <w:t>170</w:t>
            </w:r>
          </w:p>
        </w:tc>
      </w:tr>
      <w:tr w:rsidR="00BC04CA" w:rsidRPr="0093383E" w14:paraId="35CDCE47" w14:textId="77777777" w:rsidTr="00BC04CA">
        <w:tc>
          <w:tcPr>
            <w:tcW w:w="7225" w:type="dxa"/>
          </w:tcPr>
          <w:p w14:paraId="4D4A2968" w14:textId="21F62C6B"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For a Full Grave, headstone no bigger than 915 x 915 x 102 mm. Design to be approved by the Council in advance.</w:t>
            </w:r>
          </w:p>
        </w:tc>
        <w:tc>
          <w:tcPr>
            <w:tcW w:w="1791" w:type="dxa"/>
          </w:tcPr>
          <w:p w14:paraId="3123645B" w14:textId="5FF31E1B" w:rsidR="00BC04CA" w:rsidRPr="0093383E" w:rsidRDefault="00BC04CA" w:rsidP="007B44DE">
            <w:pPr>
              <w:tabs>
                <w:tab w:val="left" w:pos="7655"/>
                <w:tab w:val="decimal" w:pos="8505"/>
              </w:tabs>
              <w:rPr>
                <w:rFonts w:cstheme="minorHAnsi"/>
                <w:sz w:val="24"/>
                <w:szCs w:val="24"/>
              </w:rPr>
            </w:pPr>
            <w:r>
              <w:rPr>
                <w:rFonts w:cstheme="minorHAnsi"/>
                <w:sz w:val="24"/>
                <w:szCs w:val="24"/>
              </w:rPr>
              <w:t>£</w:t>
            </w:r>
            <w:r w:rsidR="00FF029C">
              <w:rPr>
                <w:rFonts w:cstheme="minorHAnsi"/>
                <w:sz w:val="24"/>
                <w:szCs w:val="24"/>
              </w:rPr>
              <w:t>230</w:t>
            </w:r>
          </w:p>
        </w:tc>
      </w:tr>
      <w:tr w:rsidR="00BC04CA" w:rsidRPr="0093383E" w14:paraId="308908FF" w14:textId="77777777" w:rsidTr="00BC04CA">
        <w:tc>
          <w:tcPr>
            <w:tcW w:w="7225" w:type="dxa"/>
          </w:tcPr>
          <w:p w14:paraId="336F3DC1" w14:textId="2046588B"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Child’s Memorial up to 12 years</w:t>
            </w:r>
            <w:r w:rsidR="00FF029C">
              <w:rPr>
                <w:rFonts w:cstheme="minorHAnsi"/>
                <w:sz w:val="24"/>
                <w:szCs w:val="24"/>
              </w:rPr>
              <w:t xml:space="preserve"> no bigger than 559mm x 457mm</w:t>
            </w:r>
          </w:p>
        </w:tc>
        <w:tc>
          <w:tcPr>
            <w:tcW w:w="1791" w:type="dxa"/>
          </w:tcPr>
          <w:p w14:paraId="4DA0E549" w14:textId="4D08179D" w:rsidR="00BC04CA" w:rsidRPr="0093383E" w:rsidRDefault="00FF029C" w:rsidP="007B44DE">
            <w:pPr>
              <w:tabs>
                <w:tab w:val="left" w:pos="7655"/>
                <w:tab w:val="decimal" w:pos="8505"/>
              </w:tabs>
              <w:rPr>
                <w:rFonts w:cstheme="minorHAnsi"/>
                <w:sz w:val="24"/>
                <w:szCs w:val="24"/>
              </w:rPr>
            </w:pPr>
            <w:r>
              <w:rPr>
                <w:rFonts w:cstheme="minorHAnsi"/>
                <w:sz w:val="24"/>
                <w:szCs w:val="24"/>
              </w:rPr>
              <w:t>No charge</w:t>
            </w:r>
          </w:p>
        </w:tc>
      </w:tr>
      <w:tr w:rsidR="00BC04CA" w:rsidRPr="0093383E" w14:paraId="224F094D" w14:textId="77777777" w:rsidTr="00BC04CA">
        <w:tc>
          <w:tcPr>
            <w:tcW w:w="7225" w:type="dxa"/>
          </w:tcPr>
          <w:p w14:paraId="142AF28F" w14:textId="75F0BA74"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Infants under 5 years</w:t>
            </w:r>
          </w:p>
        </w:tc>
        <w:tc>
          <w:tcPr>
            <w:tcW w:w="1791" w:type="dxa"/>
          </w:tcPr>
          <w:p w14:paraId="4EA81C35" w14:textId="77777777" w:rsidR="00BC04CA" w:rsidRPr="0093383E" w:rsidRDefault="00BC04CA" w:rsidP="007B44DE">
            <w:pPr>
              <w:tabs>
                <w:tab w:val="left" w:pos="7655"/>
                <w:tab w:val="decimal" w:pos="8505"/>
              </w:tabs>
              <w:rPr>
                <w:rFonts w:cstheme="minorHAnsi"/>
                <w:sz w:val="24"/>
                <w:szCs w:val="24"/>
              </w:rPr>
            </w:pPr>
            <w:r>
              <w:rPr>
                <w:rFonts w:cstheme="minorHAnsi"/>
                <w:sz w:val="24"/>
                <w:szCs w:val="24"/>
              </w:rPr>
              <w:t>No charge</w:t>
            </w:r>
          </w:p>
        </w:tc>
      </w:tr>
      <w:tr w:rsidR="00BC04CA" w:rsidRPr="0093383E" w14:paraId="1CFAF058" w14:textId="77777777" w:rsidTr="00BC04CA">
        <w:tc>
          <w:tcPr>
            <w:tcW w:w="7225" w:type="dxa"/>
          </w:tcPr>
          <w:p w14:paraId="4D24A5F7" w14:textId="77DA23CD"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Kerb surround not to exceed 2430 x 915 mm</w:t>
            </w:r>
          </w:p>
        </w:tc>
        <w:tc>
          <w:tcPr>
            <w:tcW w:w="1791" w:type="dxa"/>
          </w:tcPr>
          <w:p w14:paraId="11FFCA27" w14:textId="0C0B2D99" w:rsidR="00BC04CA" w:rsidRPr="0093383E" w:rsidRDefault="00BC04CA" w:rsidP="007B44DE">
            <w:pPr>
              <w:tabs>
                <w:tab w:val="left" w:pos="7655"/>
                <w:tab w:val="decimal" w:pos="8505"/>
              </w:tabs>
              <w:rPr>
                <w:rFonts w:cstheme="minorHAnsi"/>
                <w:sz w:val="24"/>
                <w:szCs w:val="24"/>
              </w:rPr>
            </w:pPr>
            <w:r>
              <w:rPr>
                <w:rFonts w:cstheme="minorHAnsi"/>
                <w:sz w:val="24"/>
                <w:szCs w:val="24"/>
              </w:rPr>
              <w:t>£</w:t>
            </w:r>
            <w:r w:rsidR="00FF029C">
              <w:rPr>
                <w:rFonts w:cstheme="minorHAnsi"/>
                <w:sz w:val="24"/>
                <w:szCs w:val="24"/>
              </w:rPr>
              <w:t>870</w:t>
            </w:r>
          </w:p>
        </w:tc>
      </w:tr>
      <w:tr w:rsidR="00BC04CA" w:rsidRPr="0093383E" w14:paraId="02770F20" w14:textId="77777777" w:rsidTr="00BC04CA">
        <w:tc>
          <w:tcPr>
            <w:tcW w:w="7225" w:type="dxa"/>
          </w:tcPr>
          <w:p w14:paraId="61E31FF5" w14:textId="0CC54D9E"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Additional vase on a full grave not exceeding 380 mm in height with a personal inscription (to be confirmed in writing on receipt of a written request). Maximum of three vases allowed</w:t>
            </w:r>
          </w:p>
        </w:tc>
        <w:tc>
          <w:tcPr>
            <w:tcW w:w="1791" w:type="dxa"/>
          </w:tcPr>
          <w:p w14:paraId="614DD87D" w14:textId="2F724761" w:rsidR="00BC04CA" w:rsidRPr="0093383E" w:rsidRDefault="00BC04CA" w:rsidP="007B44DE">
            <w:pPr>
              <w:tabs>
                <w:tab w:val="left" w:pos="7655"/>
                <w:tab w:val="decimal" w:pos="8505"/>
              </w:tabs>
              <w:rPr>
                <w:rFonts w:cstheme="minorHAnsi"/>
                <w:sz w:val="24"/>
                <w:szCs w:val="24"/>
              </w:rPr>
            </w:pPr>
            <w:r>
              <w:rPr>
                <w:rFonts w:cstheme="minorHAnsi"/>
                <w:sz w:val="24"/>
                <w:szCs w:val="24"/>
              </w:rPr>
              <w:t>£</w:t>
            </w:r>
            <w:r w:rsidR="00FF029C">
              <w:rPr>
                <w:rFonts w:cstheme="minorHAnsi"/>
                <w:sz w:val="24"/>
                <w:szCs w:val="24"/>
              </w:rPr>
              <w:t>115</w:t>
            </w:r>
          </w:p>
        </w:tc>
      </w:tr>
      <w:tr w:rsidR="00BC04CA" w:rsidRPr="0093383E" w14:paraId="230E69ED" w14:textId="77777777" w:rsidTr="00BC04CA">
        <w:tc>
          <w:tcPr>
            <w:tcW w:w="7225" w:type="dxa"/>
          </w:tcPr>
          <w:p w14:paraId="2C8BFEB1" w14:textId="3C61B5FF"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Single Vase</w:t>
            </w:r>
          </w:p>
        </w:tc>
        <w:tc>
          <w:tcPr>
            <w:tcW w:w="1791" w:type="dxa"/>
          </w:tcPr>
          <w:p w14:paraId="11B68B65" w14:textId="121C3D0E" w:rsidR="00BC04CA" w:rsidRPr="0093383E" w:rsidRDefault="00BC04CA" w:rsidP="007B44DE">
            <w:pPr>
              <w:tabs>
                <w:tab w:val="left" w:pos="7655"/>
                <w:tab w:val="decimal" w:pos="8505"/>
              </w:tabs>
              <w:rPr>
                <w:rFonts w:cstheme="minorHAnsi"/>
                <w:sz w:val="24"/>
                <w:szCs w:val="24"/>
              </w:rPr>
            </w:pPr>
            <w:r>
              <w:rPr>
                <w:rFonts w:cstheme="minorHAnsi"/>
                <w:sz w:val="24"/>
                <w:szCs w:val="24"/>
              </w:rPr>
              <w:t>£</w:t>
            </w:r>
            <w:r w:rsidR="00FF029C">
              <w:rPr>
                <w:rFonts w:cstheme="minorHAnsi"/>
                <w:sz w:val="24"/>
                <w:szCs w:val="24"/>
              </w:rPr>
              <w:t>115</w:t>
            </w:r>
          </w:p>
        </w:tc>
      </w:tr>
      <w:tr w:rsidR="00BC04CA" w:rsidRPr="0093383E" w14:paraId="000245C3" w14:textId="77777777" w:rsidTr="00BC04CA">
        <w:tc>
          <w:tcPr>
            <w:tcW w:w="7225" w:type="dxa"/>
          </w:tcPr>
          <w:p w14:paraId="7B026077" w14:textId="31886792" w:rsidR="00BC04CA" w:rsidRPr="0093383E" w:rsidRDefault="00BC04CA" w:rsidP="007B44DE">
            <w:pPr>
              <w:tabs>
                <w:tab w:val="left" w:pos="7655"/>
                <w:tab w:val="decimal" w:pos="8505"/>
              </w:tabs>
              <w:rPr>
                <w:rFonts w:cstheme="minorHAnsi"/>
                <w:sz w:val="24"/>
                <w:szCs w:val="24"/>
              </w:rPr>
            </w:pPr>
            <w:r w:rsidRPr="0093383E">
              <w:rPr>
                <w:rFonts w:cstheme="minorHAnsi"/>
                <w:sz w:val="24"/>
                <w:szCs w:val="24"/>
              </w:rPr>
              <w:t>For each additional inscription after the first. Items marked * above include the first inscription.</w:t>
            </w:r>
          </w:p>
        </w:tc>
        <w:tc>
          <w:tcPr>
            <w:tcW w:w="1791" w:type="dxa"/>
          </w:tcPr>
          <w:p w14:paraId="253BBE5A" w14:textId="729BB85E" w:rsidR="00BC04CA" w:rsidRPr="0093383E" w:rsidRDefault="00FF029C" w:rsidP="007B44DE">
            <w:pPr>
              <w:tabs>
                <w:tab w:val="left" w:pos="7655"/>
                <w:tab w:val="decimal" w:pos="8505"/>
              </w:tabs>
              <w:rPr>
                <w:rFonts w:cstheme="minorHAnsi"/>
                <w:sz w:val="24"/>
                <w:szCs w:val="24"/>
              </w:rPr>
            </w:pPr>
            <w:r>
              <w:rPr>
                <w:rFonts w:cstheme="minorHAnsi"/>
                <w:sz w:val="24"/>
                <w:szCs w:val="24"/>
              </w:rPr>
              <w:t>£85</w:t>
            </w:r>
          </w:p>
        </w:tc>
      </w:tr>
    </w:tbl>
    <w:p w14:paraId="63E215DB" w14:textId="77777777" w:rsidR="00BC04CA" w:rsidRDefault="00BC04CA">
      <w:pPr>
        <w:rPr>
          <w:b/>
          <w:bCs/>
          <w:sz w:val="24"/>
          <w:szCs w:val="24"/>
        </w:rPr>
      </w:pPr>
    </w:p>
    <w:p w14:paraId="7D86D3D1" w14:textId="1F357368" w:rsidR="007817E3" w:rsidRDefault="007817E3">
      <w:pPr>
        <w:rPr>
          <w:sz w:val="24"/>
          <w:szCs w:val="24"/>
        </w:rPr>
      </w:pPr>
      <w:r>
        <w:rPr>
          <w:sz w:val="24"/>
          <w:szCs w:val="24"/>
        </w:rPr>
        <w:t>Fees doubled for non-residents</w:t>
      </w:r>
    </w:p>
    <w:p w14:paraId="5173CE31" w14:textId="77777777" w:rsidR="007817E3" w:rsidRPr="00456310" w:rsidRDefault="007817E3" w:rsidP="007817E3">
      <w:pPr>
        <w:tabs>
          <w:tab w:val="left" w:pos="7655"/>
          <w:tab w:val="decimal" w:pos="8505"/>
        </w:tabs>
        <w:spacing w:after="0" w:line="240" w:lineRule="auto"/>
        <w:rPr>
          <w:rFonts w:cstheme="minorHAnsi"/>
          <w:i/>
          <w:iCs/>
          <w:sz w:val="24"/>
          <w:szCs w:val="24"/>
        </w:rPr>
      </w:pPr>
      <w:r w:rsidRPr="00456310">
        <w:rPr>
          <w:rFonts w:cstheme="minorHAnsi"/>
          <w:i/>
          <w:iCs/>
          <w:sz w:val="24"/>
          <w:szCs w:val="24"/>
        </w:rPr>
        <w:t>*From Tuesday 23</w:t>
      </w:r>
      <w:r w:rsidRPr="00456310">
        <w:rPr>
          <w:rFonts w:cstheme="minorHAnsi"/>
          <w:i/>
          <w:iCs/>
          <w:sz w:val="24"/>
          <w:szCs w:val="24"/>
          <w:vertAlign w:val="superscript"/>
        </w:rPr>
        <w:t>rd</w:t>
      </w:r>
      <w:r w:rsidRPr="00456310">
        <w:rPr>
          <w:rFonts w:cstheme="minorHAnsi"/>
          <w:i/>
          <w:iCs/>
          <w:sz w:val="24"/>
          <w:szCs w:val="24"/>
        </w:rPr>
        <w:t xml:space="preserve"> July 2019 parents, guardians or carers will no longer pay the fees charged for a cremation or burial of a child under the age of 18, or associated expenses.  Fees and expenses will be met instead by government funding with providers claiming from the CFF the fees and expenses they would have ordinarily charged families.</w:t>
      </w:r>
    </w:p>
    <w:p w14:paraId="6AB589C9" w14:textId="77777777" w:rsidR="007817E3" w:rsidRPr="007817E3" w:rsidRDefault="007817E3">
      <w:pPr>
        <w:rPr>
          <w:sz w:val="24"/>
          <w:szCs w:val="24"/>
        </w:rPr>
      </w:pPr>
    </w:p>
    <w:sectPr w:rsidR="007817E3" w:rsidRPr="007817E3" w:rsidSect="00FF029C">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CA"/>
    <w:rsid w:val="002F1E6F"/>
    <w:rsid w:val="007817E3"/>
    <w:rsid w:val="00A741BC"/>
    <w:rsid w:val="00B21616"/>
    <w:rsid w:val="00BA73DA"/>
    <w:rsid w:val="00BC04CA"/>
    <w:rsid w:val="00BC05AD"/>
    <w:rsid w:val="00E253FB"/>
    <w:rsid w:val="00FF0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67C7"/>
  <w15:chartTrackingRefBased/>
  <w15:docId w15:val="{B09AA3B7-25B1-49B1-8F49-BCEC816A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CA"/>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Weddell</dc:creator>
  <cp:keywords/>
  <dc:description/>
  <cp:lastModifiedBy>Bev Weddell</cp:lastModifiedBy>
  <cp:revision>4</cp:revision>
  <dcterms:created xsi:type="dcterms:W3CDTF">2023-10-27T15:54:00Z</dcterms:created>
  <dcterms:modified xsi:type="dcterms:W3CDTF">2025-09-15T11:54:00Z</dcterms:modified>
</cp:coreProperties>
</file>